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DBE2" w14:textId="39C80B8A" w:rsidR="00EE1F94" w:rsidRPr="00EE1F94" w:rsidRDefault="00EE1F94" w:rsidP="00EE1F94">
      <w:pPr>
        <w:pStyle w:val="Titre1"/>
        <w:spacing w:before="120" w:after="120"/>
        <w:jc w:val="center"/>
        <w:rPr>
          <w:sz w:val="30"/>
          <w:szCs w:val="30"/>
        </w:rPr>
      </w:pPr>
      <w:r w:rsidRPr="00EE1F94">
        <w:rPr>
          <w:sz w:val="30"/>
          <w:szCs w:val="30"/>
        </w:rPr>
        <w:t>Intégration des nouveaux collaborateurs</w:t>
      </w:r>
    </w:p>
    <w:p w14:paraId="11D3A7D7" w14:textId="77777777" w:rsidR="00EE1F94" w:rsidRPr="00EE1F94" w:rsidRDefault="00EE1F94" w:rsidP="00EE1F94">
      <w:pPr>
        <w:pStyle w:val="Titre1"/>
        <w:spacing w:before="120" w:after="120"/>
        <w:jc w:val="center"/>
      </w:pPr>
      <w:r w:rsidRPr="00EE1F94">
        <w:t>Check-list</w:t>
      </w:r>
    </w:p>
    <w:p w14:paraId="550DC348" w14:textId="1558F6F5" w:rsidR="00EE1F94" w:rsidRPr="00EE1F94" w:rsidRDefault="00EE1F94" w:rsidP="00EE1F94">
      <w:pPr>
        <w:spacing w:before="120" w:after="120"/>
        <w:rPr>
          <w:b/>
          <w:bCs/>
        </w:rPr>
      </w:pPr>
      <w:r w:rsidRPr="00EE1F94">
        <w:rPr>
          <w:b/>
          <w:bCs/>
        </w:rPr>
        <w:t>Généralités</w:t>
      </w:r>
    </w:p>
    <w:p w14:paraId="0C09912D" w14:textId="0D75E2B3" w:rsidR="00EE1F94" w:rsidRPr="00EE1F94" w:rsidRDefault="00E71AAE" w:rsidP="003027E8">
      <w:pPr>
        <w:spacing w:before="120" w:after="120"/>
        <w:jc w:val="both"/>
      </w:pPr>
      <w:sdt>
        <w:sdtPr>
          <w:id w:val="95082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7E8">
            <w:rPr>
              <w:rFonts w:ascii="MS Gothic" w:eastAsia="MS Gothic" w:hAnsi="MS Gothic" w:hint="eastAsia"/>
            </w:rPr>
            <w:t>☐</w:t>
          </w:r>
        </w:sdtContent>
      </w:sdt>
      <w:r w:rsidR="003027E8">
        <w:t xml:space="preserve"> </w:t>
      </w:r>
      <w:r w:rsidR="0091272A">
        <w:t>Présentation de</w:t>
      </w:r>
      <w:r w:rsidR="0091272A" w:rsidRPr="00EE1F94">
        <w:t xml:space="preserve"> </w:t>
      </w:r>
      <w:r w:rsidR="00EE1F94" w:rsidRPr="00EE1F94">
        <w:t xml:space="preserve">l’organisation </w:t>
      </w:r>
      <w:r w:rsidR="003027E8">
        <w:t>STPS</w:t>
      </w:r>
      <w:r w:rsidR="003027E8" w:rsidRPr="00EE1F94">
        <w:t xml:space="preserve"> </w:t>
      </w:r>
      <w:r w:rsidR="003027E8">
        <w:t>:</w:t>
      </w:r>
      <w:r w:rsidR="0091272A">
        <w:t xml:space="preserve"> </w:t>
      </w:r>
      <w:r w:rsidR="003027E8">
        <w:t>e</w:t>
      </w:r>
      <w:r w:rsidR="0091272A" w:rsidRPr="0091272A">
        <w:t>xpliquer l’organisation de la sécurité et santé au travail, ainsi que les objectifs à atteindre en matière de prévention des risques</w:t>
      </w:r>
    </w:p>
    <w:p w14:paraId="5689DB2C" w14:textId="5EF8D61B" w:rsidR="003027E8" w:rsidRDefault="00E71AAE" w:rsidP="003027E8">
      <w:pPr>
        <w:spacing w:before="120" w:after="120"/>
        <w:jc w:val="both"/>
      </w:pPr>
      <w:sdt>
        <w:sdtPr>
          <w:id w:val="169110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7E8">
            <w:rPr>
              <w:rFonts w:ascii="MS Gothic" w:eastAsia="MS Gothic" w:hAnsi="MS Gothic" w:hint="eastAsia"/>
            </w:rPr>
            <w:t>☐</w:t>
          </w:r>
        </w:sdtContent>
      </w:sdt>
      <w:r w:rsidR="003027E8" w:rsidRPr="0091272A">
        <w:t xml:space="preserve"> </w:t>
      </w:r>
      <w:r w:rsidR="0091272A" w:rsidRPr="0091272A">
        <w:t xml:space="preserve">Tour de l’entreprise : </w:t>
      </w:r>
      <w:r w:rsidR="003027E8">
        <w:t>e</w:t>
      </w:r>
      <w:r w:rsidR="0091272A" w:rsidRPr="0091272A">
        <w:t>ffectuer un tour des locaux pour attirer l’attention des nouveaux collaborateurs sur les dangers spécifiques au sein de l’entreprise.</w:t>
      </w:r>
    </w:p>
    <w:p w14:paraId="09BFD1BB" w14:textId="4B7F9147" w:rsidR="00EE1F94" w:rsidRPr="003027E8" w:rsidRDefault="00EE1F94" w:rsidP="003027E8">
      <w:pPr>
        <w:spacing w:before="120" w:after="120"/>
        <w:jc w:val="both"/>
        <w:rPr>
          <w:b/>
          <w:bCs/>
        </w:rPr>
      </w:pPr>
      <w:r w:rsidRPr="003027E8">
        <w:rPr>
          <w:b/>
          <w:bCs/>
        </w:rPr>
        <w:t>Prescriptions</w:t>
      </w:r>
    </w:p>
    <w:p w14:paraId="1EDD969A" w14:textId="77777777" w:rsidR="00EE1F94" w:rsidRPr="00EE1F94" w:rsidRDefault="00EE1F94" w:rsidP="00EE1F94">
      <w:pPr>
        <w:spacing w:before="120" w:after="120"/>
      </w:pPr>
      <w:r w:rsidRPr="00EE1F94">
        <w:t>Attirer l’attention sur :</w:t>
      </w:r>
    </w:p>
    <w:p w14:paraId="36882D49" w14:textId="71ECCDC9" w:rsidR="0091272A" w:rsidRDefault="00E71AAE" w:rsidP="003027E8">
      <w:pPr>
        <w:spacing w:before="120" w:after="120"/>
        <w:jc w:val="both"/>
      </w:pPr>
      <w:sdt>
        <w:sdtPr>
          <w:id w:val="151141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7E8">
            <w:rPr>
              <w:rFonts w:ascii="MS Gothic" w:eastAsia="MS Gothic" w:hAnsi="MS Gothic" w:hint="eastAsia"/>
            </w:rPr>
            <w:t>☐</w:t>
          </w:r>
        </w:sdtContent>
      </w:sdt>
      <w:r w:rsidR="003027E8" w:rsidRPr="003027E8">
        <w:t xml:space="preserve"> </w:t>
      </w:r>
      <w:r w:rsidR="0091272A" w:rsidRPr="003027E8">
        <w:t>Droits et obligations légales</w:t>
      </w:r>
      <w:r w:rsidR="0091272A" w:rsidRPr="0091272A">
        <w:t xml:space="preserve"> : </w:t>
      </w:r>
      <w:r w:rsidR="003027E8">
        <w:t>i</w:t>
      </w:r>
      <w:r w:rsidR="0091272A" w:rsidRPr="0091272A">
        <w:t>nformer le collaborateur sur ses obligations en matière de</w:t>
      </w:r>
      <w:r w:rsidR="0091272A">
        <w:t xml:space="preserve"> santé et</w:t>
      </w:r>
      <w:r w:rsidR="0091272A" w:rsidRPr="0091272A">
        <w:t xml:space="preserve"> sécurité au travail, ainsi que sur ses droits</w:t>
      </w:r>
      <w:r w:rsidR="003027E8">
        <w:t> ;</w:t>
      </w:r>
    </w:p>
    <w:p w14:paraId="213E296E" w14:textId="00B01E30" w:rsidR="0091272A" w:rsidRPr="0091272A" w:rsidRDefault="00E71AAE" w:rsidP="003027E8">
      <w:pPr>
        <w:spacing w:before="120" w:after="120"/>
        <w:jc w:val="both"/>
      </w:pPr>
      <w:sdt>
        <w:sdtPr>
          <w:id w:val="-16308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7E8">
            <w:rPr>
              <w:rFonts w:ascii="MS Gothic" w:eastAsia="MS Gothic" w:hAnsi="MS Gothic" w:hint="eastAsia"/>
            </w:rPr>
            <w:t>☐</w:t>
          </w:r>
        </w:sdtContent>
      </w:sdt>
      <w:r w:rsidR="003027E8">
        <w:t xml:space="preserve"> </w:t>
      </w:r>
      <w:r w:rsidR="0091272A" w:rsidRPr="003027E8">
        <w:t>Conséquences de la non-observation des prescriptions</w:t>
      </w:r>
      <w:r w:rsidR="0091272A" w:rsidRPr="0091272A">
        <w:t xml:space="preserve"> : </w:t>
      </w:r>
      <w:r w:rsidR="003027E8">
        <w:t>e</w:t>
      </w:r>
      <w:r w:rsidR="0091272A" w:rsidRPr="0091272A">
        <w:t>xpliquer les conséquences liées à la non-observance des règles de sécurité, y compris les mesures disciplinaires potentielles (rappel à l’ordre, avertissement écrit,</w:t>
      </w:r>
      <w:r w:rsidR="0091272A">
        <w:t xml:space="preserve"> pouvant aller jusqu’au licenciement avec effet immédiat</w:t>
      </w:r>
      <w:r w:rsidR="0091272A" w:rsidRPr="0091272A">
        <w:t>)</w:t>
      </w:r>
      <w:r w:rsidR="003027E8">
        <w:t> ;</w:t>
      </w:r>
    </w:p>
    <w:p w14:paraId="7271EB9A" w14:textId="1ADA192D" w:rsidR="0091272A" w:rsidRPr="0091272A" w:rsidRDefault="00E71AAE" w:rsidP="003027E8">
      <w:pPr>
        <w:spacing w:before="120" w:after="120"/>
        <w:jc w:val="both"/>
      </w:pPr>
      <w:sdt>
        <w:sdtPr>
          <w:id w:val="-63425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7E8">
            <w:rPr>
              <w:rFonts w:ascii="MS Gothic" w:eastAsia="MS Gothic" w:hAnsi="MS Gothic" w:hint="eastAsia"/>
            </w:rPr>
            <w:t>☐</w:t>
          </w:r>
        </w:sdtContent>
      </w:sdt>
      <w:r w:rsidR="003027E8" w:rsidRPr="003027E8">
        <w:t xml:space="preserve"> </w:t>
      </w:r>
      <w:r w:rsidR="0091272A" w:rsidRPr="003027E8">
        <w:t>Accès aux documents de sécurité</w:t>
      </w:r>
      <w:r w:rsidR="0091272A" w:rsidRPr="0091272A">
        <w:t xml:space="preserve"> : </w:t>
      </w:r>
      <w:r w:rsidR="003027E8">
        <w:t>i</w:t>
      </w:r>
      <w:r w:rsidR="0091272A" w:rsidRPr="0091272A">
        <w:t>nformer le collaborateur de l’emplacement du manuel de sécurité, ainsi que des autres documents et procédures internes liés à la sécurité et à la santé au travail.</w:t>
      </w:r>
    </w:p>
    <w:p w14:paraId="644BE68F" w14:textId="15BEA004" w:rsidR="00EE1F94" w:rsidRPr="00EE1F94" w:rsidRDefault="00EE1F94" w:rsidP="00EE1F94">
      <w:pPr>
        <w:spacing w:before="120" w:after="120"/>
        <w:rPr>
          <w:b/>
          <w:bCs/>
        </w:rPr>
      </w:pPr>
      <w:r w:rsidRPr="00EE1F94">
        <w:rPr>
          <w:b/>
          <w:bCs/>
        </w:rPr>
        <w:t>Instruction</w:t>
      </w:r>
      <w:r w:rsidR="0091272A">
        <w:rPr>
          <w:b/>
          <w:bCs/>
        </w:rPr>
        <w:t>s spécifiques</w:t>
      </w:r>
    </w:p>
    <w:p w14:paraId="62141AC0" w14:textId="418D5F6E" w:rsidR="0091272A" w:rsidRDefault="00E71AAE" w:rsidP="003027E8">
      <w:pPr>
        <w:spacing w:before="120" w:after="120"/>
        <w:jc w:val="both"/>
      </w:pPr>
      <w:sdt>
        <w:sdtPr>
          <w:id w:val="137543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7E8">
            <w:rPr>
              <w:rFonts w:ascii="MS Gothic" w:eastAsia="MS Gothic" w:hAnsi="MS Gothic" w:hint="eastAsia"/>
            </w:rPr>
            <w:t>☐</w:t>
          </w:r>
        </w:sdtContent>
      </w:sdt>
      <w:r w:rsidR="003027E8" w:rsidRPr="003027E8">
        <w:t xml:space="preserve"> </w:t>
      </w:r>
      <w:r w:rsidR="0091272A">
        <w:t xml:space="preserve">Organisation en cas d’urgence : </w:t>
      </w:r>
      <w:r w:rsidR="003027E8">
        <w:t>f</w:t>
      </w:r>
      <w:r w:rsidR="0091272A">
        <w:t xml:space="preserve">ournir une instruction détaillée sur les procédures d’urgence </w:t>
      </w:r>
      <w:r w:rsidR="003027E8">
        <w:t>internes</w:t>
      </w:r>
      <w:r w:rsidR="0091272A">
        <w:t>, y compris les rôles et responsabilités des collaborateurs en cas d’incident</w:t>
      </w:r>
    </w:p>
    <w:p w14:paraId="385335DB" w14:textId="353FA1DB" w:rsidR="0091272A" w:rsidRDefault="00E71AAE" w:rsidP="003027E8">
      <w:pPr>
        <w:spacing w:before="120" w:after="120"/>
        <w:jc w:val="both"/>
      </w:pPr>
      <w:sdt>
        <w:sdtPr>
          <w:id w:val="128160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7E8">
            <w:rPr>
              <w:rFonts w:ascii="MS Gothic" w:eastAsia="MS Gothic" w:hAnsi="MS Gothic" w:hint="eastAsia"/>
            </w:rPr>
            <w:t>☐</w:t>
          </w:r>
        </w:sdtContent>
      </w:sdt>
      <w:r w:rsidR="003027E8" w:rsidRPr="003027E8">
        <w:t xml:space="preserve"> </w:t>
      </w:r>
      <w:r w:rsidR="0091272A">
        <w:t xml:space="preserve">Remise des équipements de protection individuelle (EPI) : </w:t>
      </w:r>
      <w:r w:rsidR="003027E8">
        <w:t>r</w:t>
      </w:r>
      <w:r w:rsidR="0091272A">
        <w:t xml:space="preserve">emettre les EPI nécessaires à la sécurité du collaborateur et dispenser une formation </w:t>
      </w:r>
      <w:r w:rsidR="003027E8">
        <w:t>abordant les points suivants :</w:t>
      </w:r>
    </w:p>
    <w:p w14:paraId="6B45E0EE" w14:textId="7CC5C939" w:rsidR="0091272A" w:rsidRDefault="0091272A" w:rsidP="003027E8">
      <w:pPr>
        <w:pStyle w:val="Paragraphedeliste"/>
        <w:numPr>
          <w:ilvl w:val="0"/>
          <w:numId w:val="22"/>
        </w:numPr>
        <w:spacing w:before="120" w:after="120"/>
        <w:jc w:val="both"/>
      </w:pPr>
      <w:r>
        <w:t>La manière de les porter correctement</w:t>
      </w:r>
      <w:r w:rsidR="003027E8">
        <w:t> ;</w:t>
      </w:r>
    </w:p>
    <w:p w14:paraId="72D30A83" w14:textId="4235DDC5" w:rsidR="0091272A" w:rsidRDefault="0091272A" w:rsidP="003027E8">
      <w:pPr>
        <w:pStyle w:val="Paragraphedeliste"/>
        <w:numPr>
          <w:ilvl w:val="0"/>
          <w:numId w:val="22"/>
        </w:numPr>
        <w:spacing w:before="120" w:after="120"/>
        <w:jc w:val="both"/>
      </w:pPr>
      <w:r>
        <w:t>L'entretien et la maintenance des équipements</w:t>
      </w:r>
      <w:r w:rsidR="003027E8">
        <w:t> ;</w:t>
      </w:r>
    </w:p>
    <w:p w14:paraId="25472DC4" w14:textId="77777777" w:rsidR="0091272A" w:rsidRDefault="0091272A" w:rsidP="003027E8">
      <w:pPr>
        <w:pStyle w:val="Paragraphedeliste"/>
        <w:numPr>
          <w:ilvl w:val="0"/>
          <w:numId w:val="22"/>
        </w:numPr>
        <w:spacing w:before="120" w:after="120"/>
        <w:jc w:val="both"/>
      </w:pPr>
      <w:r>
        <w:t>L’utilisation appropriée des EPI sur le lieu de travail.</w:t>
      </w:r>
    </w:p>
    <w:p w14:paraId="6AC6C543" w14:textId="50077D56" w:rsidR="0091272A" w:rsidRDefault="00E71AAE" w:rsidP="003027E8">
      <w:pPr>
        <w:spacing w:before="120" w:after="120"/>
        <w:jc w:val="both"/>
      </w:pPr>
      <w:sdt>
        <w:sdtPr>
          <w:id w:val="-27009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1CB">
            <w:rPr>
              <w:rFonts w:ascii="MS Gothic" w:eastAsia="MS Gothic" w:hAnsi="MS Gothic" w:hint="eastAsia"/>
            </w:rPr>
            <w:t>☐</w:t>
          </w:r>
        </w:sdtContent>
      </w:sdt>
      <w:r w:rsidR="003027E8" w:rsidRPr="003027E8">
        <w:t xml:space="preserve"> </w:t>
      </w:r>
      <w:r w:rsidR="0091272A">
        <w:t xml:space="preserve">Dangers spécifiques au poste de travail : </w:t>
      </w:r>
      <w:r w:rsidR="003027E8">
        <w:t>i</w:t>
      </w:r>
      <w:r w:rsidR="0091272A">
        <w:t>nformer sur les dangers particuliers associés au lieu et aux tâches spécifiques, accompagnés des listes de contrôle pertinentes pour une gestion optimale des risques</w:t>
      </w:r>
    </w:p>
    <w:p w14:paraId="586E756F" w14:textId="065637ED" w:rsidR="000261CB" w:rsidRDefault="00E71AAE" w:rsidP="003027E8">
      <w:pPr>
        <w:spacing w:before="120" w:after="120"/>
        <w:jc w:val="both"/>
      </w:pPr>
      <w:sdt>
        <w:sdtPr>
          <w:id w:val="441887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1CB">
            <w:rPr>
              <w:rFonts w:ascii="MS Gothic" w:eastAsia="MS Gothic" w:hAnsi="MS Gothic" w:hint="eastAsia"/>
            </w:rPr>
            <w:t>☐</w:t>
          </w:r>
        </w:sdtContent>
      </w:sdt>
      <w:r w:rsidR="000261CB" w:rsidRPr="003027E8">
        <w:t xml:space="preserve"> </w:t>
      </w:r>
      <w:r w:rsidR="000261CB" w:rsidRPr="000261CB">
        <w:t>Risques spécifiques liés à la grossesse</w:t>
      </w:r>
      <w:r w:rsidR="000261CB">
        <w:t xml:space="preserve"> et à la maternité</w:t>
      </w:r>
      <w:r w:rsidR="000261CB" w:rsidRPr="000261CB">
        <w:t xml:space="preserve"> : informer sur les dangers particuliers que le poste de travail peut présenter pour les femmes enceintes</w:t>
      </w:r>
      <w:r w:rsidR="000261CB">
        <w:t xml:space="preserve"> ou allaitantes</w:t>
      </w:r>
      <w:r w:rsidR="000261CB" w:rsidRPr="000261CB">
        <w:t xml:space="preserve">, notamment en lien avec les substances, postures, charges, horaires ou ambiances physiques. </w:t>
      </w:r>
      <w:r w:rsidR="000261CB">
        <w:t>Indiquer lors de chaque engagement de nouvelle collaboratrice qu’i</w:t>
      </w:r>
      <w:r w:rsidR="000261CB" w:rsidRPr="000261CB">
        <w:t>l est vivement recommandé d’annoncer une grossesse dès que possible afin de pouvoir identifier ces risques et mettre en place rapidement les mesures de protection adaptées.</w:t>
      </w:r>
    </w:p>
    <w:p w14:paraId="14952317" w14:textId="38182BB7" w:rsidR="0091272A" w:rsidRDefault="0091272A" w:rsidP="00EE1F94">
      <w:pPr>
        <w:spacing w:before="120" w:after="120"/>
        <w:rPr>
          <w:b/>
          <w:bCs/>
        </w:rPr>
      </w:pPr>
      <w:r>
        <w:rPr>
          <w:b/>
          <w:bCs/>
        </w:rPr>
        <w:t>Procédures à suivre en cas d’accident ou de maladie</w:t>
      </w:r>
    </w:p>
    <w:p w14:paraId="27FF4737" w14:textId="5248B5B9" w:rsidR="0091272A" w:rsidRPr="003027E8" w:rsidRDefault="00E71AAE" w:rsidP="003027E8">
      <w:pPr>
        <w:spacing w:before="120" w:after="120"/>
        <w:jc w:val="both"/>
      </w:pPr>
      <w:sdt>
        <w:sdtPr>
          <w:id w:val="150054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7E8">
            <w:rPr>
              <w:rFonts w:ascii="MS Gothic" w:eastAsia="MS Gothic" w:hAnsi="MS Gothic" w:hint="eastAsia"/>
            </w:rPr>
            <w:t>☐</w:t>
          </w:r>
        </w:sdtContent>
      </w:sdt>
      <w:r w:rsidR="003027E8" w:rsidRPr="003027E8">
        <w:t xml:space="preserve"> </w:t>
      </w:r>
      <w:r w:rsidR="0091272A" w:rsidRPr="003027E8">
        <w:t xml:space="preserve">Procédure en cas d’accident : </w:t>
      </w:r>
      <w:r w:rsidR="003027E8">
        <w:t>e</w:t>
      </w:r>
      <w:r w:rsidR="0091272A" w:rsidRPr="003027E8">
        <w:t>xpliquer la procédure interne à suivre en cas d’accident professionnel ou non professionnel, en insistant sur les actions immédiates à entreprendre (déclaration, premiers secours, etc.)</w:t>
      </w:r>
    </w:p>
    <w:p w14:paraId="7476E766" w14:textId="7349361F" w:rsidR="0091272A" w:rsidRDefault="00E71AAE" w:rsidP="003027E8">
      <w:pPr>
        <w:spacing w:before="120" w:after="120"/>
        <w:jc w:val="both"/>
      </w:pPr>
      <w:sdt>
        <w:sdtPr>
          <w:id w:val="-196172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7E8">
            <w:rPr>
              <w:rFonts w:ascii="MS Gothic" w:eastAsia="MS Gothic" w:hAnsi="MS Gothic" w:hint="eastAsia"/>
            </w:rPr>
            <w:t>☐</w:t>
          </w:r>
        </w:sdtContent>
      </w:sdt>
      <w:r w:rsidR="003027E8" w:rsidRPr="003027E8">
        <w:t xml:space="preserve"> </w:t>
      </w:r>
      <w:r w:rsidR="0091272A" w:rsidRPr="003027E8">
        <w:t xml:space="preserve">Procédure en cas de maladie : </w:t>
      </w:r>
      <w:r w:rsidR="003027E8">
        <w:t>d</w:t>
      </w:r>
      <w:r w:rsidR="0091272A" w:rsidRPr="003027E8">
        <w:t>élivrer les consignes à suivre en cas de maladie (qu’elle soit professionnelle ou non), en précisant les démarches administratives et les points de contact au sein de l’organisation</w:t>
      </w:r>
    </w:p>
    <w:p w14:paraId="4E92B243" w14:textId="77777777" w:rsidR="000261CB" w:rsidRDefault="000261CB">
      <w:pPr>
        <w:rPr>
          <w:b/>
          <w:bCs/>
        </w:rPr>
      </w:pPr>
      <w:r>
        <w:rPr>
          <w:b/>
          <w:bCs/>
        </w:rPr>
        <w:br w:type="page"/>
      </w:r>
    </w:p>
    <w:p w14:paraId="58733432" w14:textId="34AC3C51" w:rsidR="0091272A" w:rsidRPr="0091272A" w:rsidRDefault="0091272A" w:rsidP="0091272A">
      <w:pPr>
        <w:spacing w:before="120" w:after="120"/>
        <w:jc w:val="both"/>
        <w:rPr>
          <w:b/>
          <w:bCs/>
        </w:rPr>
      </w:pPr>
      <w:r w:rsidRPr="0091272A">
        <w:rPr>
          <w:b/>
          <w:bCs/>
        </w:rPr>
        <w:lastRenderedPageBreak/>
        <w:t xml:space="preserve">Suivi et </w:t>
      </w:r>
      <w:r w:rsidR="003027E8">
        <w:rPr>
          <w:b/>
          <w:bCs/>
        </w:rPr>
        <w:t>é</w:t>
      </w:r>
      <w:r w:rsidRPr="0091272A">
        <w:rPr>
          <w:b/>
          <w:bCs/>
        </w:rPr>
        <w:t>valuation</w:t>
      </w:r>
    </w:p>
    <w:p w14:paraId="56A63C4D" w14:textId="2A5C2A96" w:rsidR="0091272A" w:rsidRPr="0091272A" w:rsidRDefault="00E71AAE" w:rsidP="003027E8">
      <w:pPr>
        <w:spacing w:before="120" w:after="120"/>
        <w:jc w:val="both"/>
      </w:pPr>
      <w:sdt>
        <w:sdtPr>
          <w:id w:val="160585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7E8">
            <w:rPr>
              <w:rFonts w:ascii="MS Gothic" w:eastAsia="MS Gothic" w:hAnsi="MS Gothic" w:hint="eastAsia"/>
            </w:rPr>
            <w:t>☐</w:t>
          </w:r>
        </w:sdtContent>
      </w:sdt>
      <w:r w:rsidR="003027E8" w:rsidRPr="003027E8">
        <w:t xml:space="preserve"> </w:t>
      </w:r>
      <w:r w:rsidR="0091272A" w:rsidRPr="003027E8">
        <w:t>Suivi de l’intégration</w:t>
      </w:r>
      <w:r w:rsidR="0091272A" w:rsidRPr="0091272A">
        <w:t xml:space="preserve"> : </w:t>
      </w:r>
      <w:r w:rsidR="003027E8">
        <w:t>p</w:t>
      </w:r>
      <w:r w:rsidR="0091272A" w:rsidRPr="0091272A">
        <w:t>révoir un suivi régulier de l’intégration du collaborateur, notamment en matière de sécurité au travail, afin de s’assurer de la bonne compréhension et application des consignes</w:t>
      </w:r>
    </w:p>
    <w:p w14:paraId="0E27B00A" w14:textId="27BAE013" w:rsidR="004C6C8D" w:rsidRPr="00EE1F94" w:rsidRDefault="00E71AAE" w:rsidP="003027E8">
      <w:pPr>
        <w:spacing w:before="120" w:after="120"/>
        <w:jc w:val="both"/>
      </w:pPr>
      <w:sdt>
        <w:sdtPr>
          <w:id w:val="71138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7E8">
            <w:rPr>
              <w:rFonts w:ascii="MS Gothic" w:eastAsia="MS Gothic" w:hAnsi="MS Gothic" w:hint="eastAsia"/>
            </w:rPr>
            <w:t>☐</w:t>
          </w:r>
        </w:sdtContent>
      </w:sdt>
      <w:r w:rsidR="003027E8" w:rsidRPr="003027E8">
        <w:t xml:space="preserve"> </w:t>
      </w:r>
      <w:r w:rsidR="0091272A" w:rsidRPr="003027E8">
        <w:t>Feedback et ajustements</w:t>
      </w:r>
      <w:r w:rsidR="0091272A" w:rsidRPr="0091272A">
        <w:t xml:space="preserve"> : </w:t>
      </w:r>
      <w:r w:rsidR="003027E8">
        <w:t>e</w:t>
      </w:r>
      <w:r w:rsidR="0091272A" w:rsidRPr="0091272A">
        <w:t xml:space="preserve">ncourager les retours d’expérience de la part des nouveaux collaborateurs afin d’ajuster et améliorer continuellement le processus d’intégration en matière de </w:t>
      </w:r>
      <w:r w:rsidR="003027E8">
        <w:t>STPS</w:t>
      </w:r>
      <w:r w:rsidR="0091272A" w:rsidRPr="0091272A">
        <w:t>.</w:t>
      </w:r>
    </w:p>
    <w:sectPr w:rsidR="004C6C8D" w:rsidRPr="00EE1F94" w:rsidSect="00764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1418" w:right="1418" w:bottom="992" w:left="1418" w:header="709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DC40" w14:textId="77777777" w:rsidR="002077AC" w:rsidRDefault="002077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F297" w14:textId="48FB2182" w:rsidR="00FF2D27" w:rsidRPr="002077AC" w:rsidRDefault="003027E8">
    <w:pPr>
      <w:pStyle w:val="Pieddepage"/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3.1 Check-list_Intégration des nouveaux collaborateurs.docx</w:t>
    </w:r>
    <w:r>
      <w:rPr>
        <w:sz w:val="15"/>
        <w:szCs w:val="15"/>
      </w:rPr>
      <w:fldChar w:fldCharType="end"/>
    </w:r>
    <w:r w:rsidR="007B1BE9" w:rsidRPr="00FF2D27">
      <w:rPr>
        <w:sz w:val="15"/>
        <w:szCs w:val="15"/>
      </w:rPr>
      <w:ptab w:relativeTo="margin" w:alignment="center" w:leader="none"/>
    </w:r>
    <w:r w:rsidR="007B1BE9" w:rsidRPr="00FF2D27">
      <w:rPr>
        <w:sz w:val="15"/>
        <w:szCs w:val="15"/>
      </w:rPr>
      <w:ptab w:relativeTo="margin" w:alignment="right" w:leader="none"/>
    </w:r>
    <w:r w:rsidR="00FF2D27" w:rsidRPr="00FF2D27">
      <w:rPr>
        <w:rFonts w:eastAsia="Times New Roman"/>
        <w:color w:val="6E6D6D"/>
        <w:spacing w:val="60"/>
        <w:sz w:val="15"/>
        <w:szCs w:val="15"/>
        <w:lang w:eastAsia="fr-FR"/>
      </w:rPr>
      <w:t xml:space="preserve"> </w:t>
    </w:r>
    <w:r w:rsidR="00FF2D27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FF2D27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FF2D2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FF2D27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FF2D2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FF2D27">
      <w:rPr>
        <w:rFonts w:eastAsia="Times New Roman"/>
        <w:color w:val="6E6D6D"/>
        <w:sz w:val="15"/>
        <w:szCs w:val="15"/>
        <w:lang w:val="fr-FR" w:eastAsia="fr-FR"/>
      </w:rPr>
      <w:t>1</w:t>
    </w:r>
    <w:r w:rsidR="00FF2D2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FF2D27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FF2D2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FF2D27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FF2D2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FF2D27">
      <w:rPr>
        <w:rFonts w:eastAsia="Times New Roman"/>
        <w:color w:val="6E6D6D"/>
        <w:sz w:val="15"/>
        <w:szCs w:val="15"/>
        <w:lang w:val="fr-FR" w:eastAsia="fr-FR"/>
      </w:rPr>
      <w:t>3</w:t>
    </w:r>
    <w:r w:rsidR="00FF2D2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B694" w14:textId="77777777" w:rsidR="002077AC" w:rsidRDefault="002077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852E" w14:textId="77777777" w:rsidR="002077AC" w:rsidRDefault="002077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D855" w14:textId="0B27ECF2" w:rsidR="00FF2D27" w:rsidRDefault="00FF2D27">
    <w:pPr>
      <w:pStyle w:val="En-tte"/>
    </w:pPr>
    <w:r>
      <w:rPr>
        <w:noProof/>
      </w:rPr>
      <w:drawing>
        <wp:inline distT="0" distB="0" distL="0" distR="0" wp14:anchorId="6F5744F2" wp14:editId="01FCE6F6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2FE9A6" w14:textId="77777777" w:rsidR="007B1BE9" w:rsidRDefault="007B1BE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AED3" w14:textId="77777777" w:rsidR="002077AC" w:rsidRDefault="002077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069"/>
    <w:multiLevelType w:val="hybridMultilevel"/>
    <w:tmpl w:val="73EED0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BB4"/>
    <w:multiLevelType w:val="hybridMultilevel"/>
    <w:tmpl w:val="32040B68"/>
    <w:lvl w:ilvl="0" w:tplc="100C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2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4581C"/>
    <w:multiLevelType w:val="hybridMultilevel"/>
    <w:tmpl w:val="DA00D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428E2"/>
    <w:multiLevelType w:val="hybridMultilevel"/>
    <w:tmpl w:val="33A801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77D78"/>
    <w:multiLevelType w:val="multilevel"/>
    <w:tmpl w:val="95D20A72"/>
    <w:lvl w:ilvl="0">
      <w:start w:val="4"/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E796B"/>
    <w:multiLevelType w:val="hybridMultilevel"/>
    <w:tmpl w:val="7C4AC178"/>
    <w:lvl w:ilvl="0" w:tplc="100C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9" w15:restartNumberingAfterBreak="0">
    <w:nsid w:val="4D06143D"/>
    <w:multiLevelType w:val="hybridMultilevel"/>
    <w:tmpl w:val="16E6F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B6B22"/>
    <w:multiLevelType w:val="hybridMultilevel"/>
    <w:tmpl w:val="728CDD4E"/>
    <w:lvl w:ilvl="0" w:tplc="05BAEB8A">
      <w:start w:val="4"/>
      <w:numFmt w:val="bullet"/>
      <w:lvlText w:val="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C7924"/>
    <w:multiLevelType w:val="hybridMultilevel"/>
    <w:tmpl w:val="52026F7A"/>
    <w:lvl w:ilvl="0" w:tplc="100C0001">
      <w:start w:val="1"/>
      <w:numFmt w:val="bullet"/>
      <w:lvlText w:val=""/>
      <w:lvlJc w:val="left"/>
      <w:pPr>
        <w:ind w:left="24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3" w15:restartNumberingAfterBreak="0">
    <w:nsid w:val="65897C27"/>
    <w:multiLevelType w:val="hybridMultilevel"/>
    <w:tmpl w:val="90AC9348"/>
    <w:lvl w:ilvl="0" w:tplc="10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B78A7"/>
    <w:multiLevelType w:val="hybridMultilevel"/>
    <w:tmpl w:val="3B9EA2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803AE"/>
    <w:multiLevelType w:val="hybridMultilevel"/>
    <w:tmpl w:val="B04825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50FB6"/>
    <w:multiLevelType w:val="hybridMultilevel"/>
    <w:tmpl w:val="D9AE88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74DA4"/>
    <w:multiLevelType w:val="hybridMultilevel"/>
    <w:tmpl w:val="87B6C7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21"/>
  </w:num>
  <w:num w:numId="2" w16cid:durableId="1336301775">
    <w:abstractNumId w:val="6"/>
  </w:num>
  <w:num w:numId="3" w16cid:durableId="1124494716">
    <w:abstractNumId w:val="2"/>
  </w:num>
  <w:num w:numId="4" w16cid:durableId="1180120676">
    <w:abstractNumId w:val="10"/>
  </w:num>
  <w:num w:numId="5" w16cid:durableId="68239399">
    <w:abstractNumId w:val="14"/>
  </w:num>
  <w:num w:numId="6" w16cid:durableId="1539585646">
    <w:abstractNumId w:val="15"/>
  </w:num>
  <w:num w:numId="7" w16cid:durableId="181019841">
    <w:abstractNumId w:val="4"/>
  </w:num>
  <w:num w:numId="8" w16cid:durableId="1606308304">
    <w:abstractNumId w:val="9"/>
  </w:num>
  <w:num w:numId="9" w16cid:durableId="1791701401">
    <w:abstractNumId w:val="16"/>
  </w:num>
  <w:num w:numId="10" w16cid:durableId="345257526">
    <w:abstractNumId w:val="13"/>
  </w:num>
  <w:num w:numId="11" w16cid:durableId="947858269">
    <w:abstractNumId w:val="8"/>
  </w:num>
  <w:num w:numId="12" w16cid:durableId="516042080">
    <w:abstractNumId w:val="18"/>
  </w:num>
  <w:num w:numId="13" w16cid:durableId="1056926496">
    <w:abstractNumId w:val="1"/>
  </w:num>
  <w:num w:numId="14" w16cid:durableId="742531786">
    <w:abstractNumId w:val="12"/>
  </w:num>
  <w:num w:numId="15" w16cid:durableId="722220142">
    <w:abstractNumId w:val="3"/>
  </w:num>
  <w:num w:numId="16" w16cid:durableId="1557080862">
    <w:abstractNumId w:val="5"/>
  </w:num>
  <w:num w:numId="17" w16cid:durableId="702706204">
    <w:abstractNumId w:val="20"/>
  </w:num>
  <w:num w:numId="18" w16cid:durableId="325934946">
    <w:abstractNumId w:val="0"/>
  </w:num>
  <w:num w:numId="19" w16cid:durableId="1196380889">
    <w:abstractNumId w:val="19"/>
  </w:num>
  <w:num w:numId="20" w16cid:durableId="1461731267">
    <w:abstractNumId w:val="11"/>
  </w:num>
  <w:num w:numId="21" w16cid:durableId="165094403">
    <w:abstractNumId w:val="7"/>
  </w:num>
  <w:num w:numId="22" w16cid:durableId="580240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261CB"/>
    <w:rsid w:val="00032996"/>
    <w:rsid w:val="0018500F"/>
    <w:rsid w:val="001B0CF6"/>
    <w:rsid w:val="001C28FF"/>
    <w:rsid w:val="001D5341"/>
    <w:rsid w:val="002077AC"/>
    <w:rsid w:val="002103BE"/>
    <w:rsid w:val="0022736A"/>
    <w:rsid w:val="002658E3"/>
    <w:rsid w:val="00276AFA"/>
    <w:rsid w:val="002D6EDF"/>
    <w:rsid w:val="002E783F"/>
    <w:rsid w:val="003027E8"/>
    <w:rsid w:val="00351993"/>
    <w:rsid w:val="00381538"/>
    <w:rsid w:val="00406341"/>
    <w:rsid w:val="004C6C8D"/>
    <w:rsid w:val="005C4FC5"/>
    <w:rsid w:val="005E3B15"/>
    <w:rsid w:val="00600934"/>
    <w:rsid w:val="00640910"/>
    <w:rsid w:val="00651E4D"/>
    <w:rsid w:val="006A1E5F"/>
    <w:rsid w:val="006D2721"/>
    <w:rsid w:val="007003BC"/>
    <w:rsid w:val="00764E8C"/>
    <w:rsid w:val="007A64DE"/>
    <w:rsid w:val="007B0BAD"/>
    <w:rsid w:val="007B1BE9"/>
    <w:rsid w:val="007C5815"/>
    <w:rsid w:val="008052DC"/>
    <w:rsid w:val="00865E5C"/>
    <w:rsid w:val="008B1BD7"/>
    <w:rsid w:val="00912630"/>
    <w:rsid w:val="0091272A"/>
    <w:rsid w:val="009643F9"/>
    <w:rsid w:val="00976303"/>
    <w:rsid w:val="009D7C49"/>
    <w:rsid w:val="00AC205B"/>
    <w:rsid w:val="00B13CF7"/>
    <w:rsid w:val="00B4008F"/>
    <w:rsid w:val="00C758E0"/>
    <w:rsid w:val="00C95315"/>
    <w:rsid w:val="00CD05A8"/>
    <w:rsid w:val="00DC060E"/>
    <w:rsid w:val="00DD3A38"/>
    <w:rsid w:val="00E01C60"/>
    <w:rsid w:val="00E71AAE"/>
    <w:rsid w:val="00E73F48"/>
    <w:rsid w:val="00EC12BA"/>
    <w:rsid w:val="00EE1F94"/>
    <w:rsid w:val="00EF5A57"/>
    <w:rsid w:val="00F9454D"/>
    <w:rsid w:val="00F94A78"/>
    <w:rsid w:val="00F97A2C"/>
    <w:rsid w:val="00FF2D27"/>
    <w:rsid w:val="25E9FD6F"/>
    <w:rsid w:val="33AD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1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27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1F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EE1F94"/>
    <w:rPr>
      <w:rFonts w:asciiTheme="majorHAnsi" w:eastAsiaTheme="majorEastAsia" w:hAnsiTheme="majorHAnsi" w:cstheme="majorBidi"/>
      <w:color w:val="365F91" w:themeColor="accent1" w:themeShade="BF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EE1F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/>
    </w:rPr>
  </w:style>
  <w:style w:type="paragraph" w:styleId="Rvision">
    <w:name w:val="Revision"/>
    <w:hidden/>
    <w:uiPriority w:val="99"/>
    <w:semiHidden/>
    <w:rsid w:val="0091272A"/>
    <w:pPr>
      <w:widowControl/>
      <w:autoSpaceDE/>
      <w:autoSpaceDN/>
    </w:pPr>
    <w:rPr>
      <w:rFonts w:ascii="Arial" w:eastAsia="Arial" w:hAnsi="Arial" w:cs="Arial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9127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272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272A"/>
    <w:rPr>
      <w:rFonts w:ascii="Arial" w:eastAsia="Arial" w:hAnsi="Arial" w:cs="Arial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27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272A"/>
    <w:rPr>
      <w:rFonts w:ascii="Arial" w:eastAsia="Arial" w:hAnsi="Arial" w:cs="Arial"/>
      <w:b/>
      <w:bCs/>
      <w:sz w:val="20"/>
      <w:szCs w:val="20"/>
      <w:lang w:val="fr-CH"/>
    </w:rPr>
  </w:style>
  <w:style w:type="character" w:customStyle="1" w:styleId="Titre3Car">
    <w:name w:val="Titre 3 Car"/>
    <w:basedOn w:val="Policepardfaut"/>
    <w:link w:val="Titre3"/>
    <w:uiPriority w:val="9"/>
    <w:semiHidden/>
    <w:rsid w:val="009127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 MANUEL SolBra.docx</vt:lpstr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42</cp:revision>
  <dcterms:created xsi:type="dcterms:W3CDTF">2024-04-16T10:27:00Z</dcterms:created>
  <dcterms:modified xsi:type="dcterms:W3CDTF">2025-04-22T14:21:00Z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